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center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IIS "CURIE-SRAFFA”  MILANO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ind w:hanging="2"/>
        <w:jc w:val="center"/>
        <w:rPr>
          <w:rFonts w:ascii="Calibri" w:cs="Calibri" w:eastAsia="Calibri" w:hAnsi="Calibri"/>
          <w:color w:val="4a86e8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TAVOLA DI PROGRAMMAZIONE COMUNE ANNUALE </w:t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Anno scolastico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4a86e8"/>
          <w:sz w:val="22"/>
          <w:szCs w:val="22"/>
          <w:rtl w:val="0"/>
        </w:rPr>
        <w:t xml:space="preserve">2025 2026</w:t>
      </w:r>
      <w:r w:rsidDel="00000000" w:rsidR="00000000" w:rsidRPr="00000000">
        <w:rPr>
          <w:rtl w:val="0"/>
        </w:rPr>
      </w:r>
    </w:p>
    <w:tbl>
      <w:tblPr>
        <w:tblStyle w:val="Table1"/>
        <w:tblW w:w="144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0"/>
        <w:gridCol w:w="12446"/>
        <w:tblGridChange w:id="0">
          <w:tblGrid>
            <w:gridCol w:w="1980"/>
            <w:gridCol w:w="124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Classe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V indirizzo CHIMICA  E MATERIALI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Chimica Organica e Biochimica. Chimica delle Fermentazioni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Docenti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Testo utilizzato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H. Hart, Hadad, Craine, D. Hart– Chimica Organica- Dal carbonio alle Biomolecole (8° ed.)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Fornari, Gando- Microbiologia e chimica delle fermentazioni</w:t>
            </w:r>
          </w:p>
        </w:tc>
      </w:tr>
    </w:tbl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                          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(*) </w:t>
      </w: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Gli obiettivi minimi sono indicati con sottolineatura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                                    </w:t>
      </w:r>
    </w:p>
    <w:tbl>
      <w:tblPr>
        <w:tblStyle w:val="Table2"/>
        <w:tblW w:w="14435.0" w:type="dxa"/>
        <w:jc w:val="left"/>
        <w:tblInd w:w="-10.0" w:type="dxa"/>
        <w:tblLayout w:type="fixed"/>
        <w:tblLook w:val="0000"/>
      </w:tblPr>
      <w:tblGrid>
        <w:gridCol w:w="1536"/>
        <w:gridCol w:w="4111"/>
        <w:gridCol w:w="7512"/>
        <w:gridCol w:w="1276"/>
        <w:tblGridChange w:id="0">
          <w:tblGrid>
            <w:gridCol w:w="1536"/>
            <w:gridCol w:w="4111"/>
            <w:gridCol w:w="7512"/>
            <w:gridCol w:w="12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Unità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Obiettivi 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Contenuti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Tempi</w:t>
            </w:r>
          </w:p>
        </w:tc>
      </w:tr>
      <w:tr>
        <w:trPr>
          <w:cantSplit w:val="0"/>
          <w:trHeight w:val="89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U.D. 0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Introduzione al corso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Comprendere il quadro d’insieme della disciplina e la sua importanza tecnica ed economica</w:t>
            </w:r>
          </w:p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Comprendere i potenziali rischi legati alla manipolazione di microrganismi.</w:t>
            </w:r>
          </w:p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Essere in grado di classificare i rischi legati ai principali microrganismi.</w:t>
            </w:r>
          </w:p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Conoscere le potenziali fonti di pericolo biologico e le vie di esposizione.</w:t>
            </w:r>
          </w:p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Conoscere quali sono i modi per prevenire l’esposizione ad un agente patogeno.</w:t>
            </w:r>
          </w:p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u w:val="single"/>
                <w:rtl w:val="0"/>
              </w:rPr>
              <w:t xml:space="preserve">LABORATORIO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br w:type="textWrapping"/>
              <w:t xml:space="preserve">I rischi biologici nei laboratori. </w:t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Agenti biologici,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microrganismi (endoparassiti ed ectoparassiti), colture cellulari. </w:t>
            </w:r>
          </w:p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I batteri (saprofiti, patogeni, opportunisti,  tossine batteriche). I virus. I funghi (lieviti e muffe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); le micosi; le micotossine. </w:t>
            </w:r>
          </w:p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Pericolosità degli agenti biologici (patogenicità, infettività, trasmissibilità, neutralizzabilità). Classificazione degli agenti biologici (Dlgs 81/08)in 4 gruppi.</w:t>
            </w:r>
          </w:p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Potenziali fonti di pericolo biologico e potenziali vie di esposizione.</w:t>
            </w:r>
          </w:p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Prevenzione e protezione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Settembre</w:t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U.D. 1</w:t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Proteine ed Enzimi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 descrivere struttura, caratteristiche e funzione delle proteine  </w:t>
            </w:r>
          </w:p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Conoscere struttura generale e caratteristiche degli aminoacidi naturali.</w:t>
              <w:br w:type="textWrapping"/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Conoscere la struttura degli enzimi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e i criteri usati per la loro classificazione.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Conoscere il meccanismo d’azione degli enzimi. 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Conoscere i fattori che influenzano l’attività enzimatica.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Descrivere la cinetica enzimatica  (modello di saturazione)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1.1 PROTEINE: 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Struttura generale e classificazione degli amminoacidi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Comportamento acido-base: forma zwitterionica.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Legame peptidico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Proteine: struttura primaria, secondaria, terziaria e quaternaria. Denaturazione. Funzione delle proteine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1.2 ENZIMI: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Funzione, specificità, struttura e classificazione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degli enzimi (numero EC della classe).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Cofattori e coenzimi.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Meccanismo d’azione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degli enzimi.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Fattori che influenzano l’attività enzimatica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Cinetica enzimatica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 equazione e grafico di Michaelis Menten.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Inibizione competitiva e non.</w:t>
            </w:r>
          </w:p>
          <w:p w:rsidR="00000000" w:rsidDel="00000000" w:rsidP="00000000" w:rsidRDefault="00000000" w:rsidRPr="00000000" w14:paraId="0000003D">
            <w:pPr>
              <w:ind w:left="-27" w:firstLine="0"/>
              <w:jc w:val="both"/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left="-27" w:firstLine="0"/>
              <w:jc w:val="both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u w:val="single"/>
                <w:rtl w:val="0"/>
              </w:rPr>
              <w:t xml:space="preserve">LABORATORIO: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 separazione e identificazione delle proteine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left="-27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Elettroforesi SDS/PAGE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Settembre- Ottobre</w:t>
            </w:r>
          </w:p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Ottobre-</w:t>
            </w:r>
          </w:p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Novembre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Unità</w:t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Obiettivi 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Contenuti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Tempi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U.D. 2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Conoscere i principi di classificazione dei viventi (cenni)</w:t>
            </w:r>
          </w:p>
          <w:p w:rsidR="00000000" w:rsidDel="00000000" w:rsidP="00000000" w:rsidRDefault="00000000" w:rsidRPr="00000000" w14:paraId="00000050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 descrivere e saper utilizzare il microscopio ottico per l’osservazione di cellule animali e vegetali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Cenni ai principi di classificazione: i microrganismi all’interno del mondo dei viventi.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Cenni alla nomenclatura binomia.</w:t>
            </w:r>
          </w:p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Cenni alla teoria cellulare.</w:t>
            </w:r>
          </w:p>
          <w:p w:rsidR="00000000" w:rsidDel="00000000" w:rsidP="00000000" w:rsidRDefault="00000000" w:rsidRPr="00000000" w14:paraId="000000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Calibri" w:cs="Calibri" w:eastAsia="Calibri" w:hAnsi="Calibri"/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u w:val="single"/>
                <w:rtl w:val="0"/>
              </w:rPr>
              <w:t xml:space="preserve">LABORATORIO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: Il microscopio ottico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Tecnica di messa a fuoco: osservazione di una lettera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Osservazione al microscopio di preparati a fresco.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Osservazione al microscopio di cellule animali (epitelio buccale).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Osservazione di cellule di lievito con colorazione semplice(fenomeno dell’osmosi)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ind w:left="360" w:hanging="360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Osservazione di cellule vegetali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Novembre-</w:t>
            </w:r>
          </w:p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Dicembre</w:t>
            </w:r>
          </w:p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  m.o. di interesse industriale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Comprendere i principali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criteri di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classificazione dei microrganismi in base alle esigenze chimico-fisiche e nutrizionali</w:t>
            </w:r>
          </w:p>
          <w:p w:rsidR="00000000" w:rsidDel="00000000" w:rsidP="00000000" w:rsidRDefault="00000000" w:rsidRPr="00000000" w14:paraId="00000076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 descrivere nelle linee essenziali le principali differenze tra organismi procarioti ed eucarioti.</w:t>
            </w:r>
          </w:p>
          <w:p w:rsidR="00000000" w:rsidDel="00000000" w:rsidP="00000000" w:rsidRDefault="00000000" w:rsidRPr="00000000" w14:paraId="00000078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 descrivere le principali strutture morfologiche e caratteristiche funzionali dei vari tipi di microrganismi di interesse industriale.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Conoscere le diverse esigenze chimiche e fisiche dei batteri e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comprenderne l’importanza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Conoscere per sommi capi la morfologia e la riproduzione di lieviti e muffe </w:t>
            </w:r>
          </w:p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Conoscere le diverse tipologie di virus e la loro riproduzione.</w:t>
            </w:r>
          </w:p>
          <w:p w:rsidR="00000000" w:rsidDel="00000000" w:rsidP="00000000" w:rsidRDefault="00000000" w:rsidRPr="00000000" w14:paraId="000000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Classificazione microrganismi in base 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98" w:hanging="36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Fonti nutritive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(autotrofi, eterotrofi)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98" w:hanging="36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Fonti energetiche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(fototrofi, chemiotrofi)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98" w:hanging="36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Esigenze di ossigeno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(aerobi obbligati, anaerobi obbligati, anaerobi facoltativi…)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98" w:hanging="36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Temperatura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(psicrofili, mesofili, termofili)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98" w:hanging="36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pH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98" w:hanging="360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Salinità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(alofili e non alofili)</w:t>
            </w:r>
          </w:p>
          <w:p w:rsidR="00000000" w:rsidDel="00000000" w:rsidP="00000000" w:rsidRDefault="00000000" w:rsidRPr="00000000" w14:paraId="0000008A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Calibri" w:cs="Calibri" w:eastAsia="Calibri" w:hAnsi="Calibri"/>
                <w:color w:val="0000ff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ff"/>
                <w:u w:val="single"/>
                <w:rtl w:val="0"/>
              </w:rPr>
              <w:t xml:space="preserve">Struttura della CELLULA procariotica</w:t>
            </w:r>
            <w:r w:rsidDel="00000000" w:rsidR="00000000" w:rsidRPr="00000000">
              <w:rPr>
                <w:rFonts w:ascii="Calibri" w:cs="Calibri" w:eastAsia="Calibri" w:hAnsi="Calibri"/>
                <w:color w:val="0000ff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Microrganismi di interesse industriale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BATTERI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Morfologia e struttura –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Membrana (meccanismi di trasporto)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 Parete cellulare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Riproduzione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Formazione di spore di resistenza</w:t>
              <w:br w:type="textWrapping"/>
            </w:r>
          </w:p>
          <w:p w:rsidR="00000000" w:rsidDel="00000000" w:rsidP="00000000" w:rsidRDefault="00000000" w:rsidRPr="00000000" w14:paraId="00000091">
            <w:pPr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ff"/>
                <w:u w:val="single"/>
                <w:rtl w:val="0"/>
              </w:rPr>
              <w:t xml:space="preserve">Struttura della CELLULA eucariotica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LIEVITI, MUFFE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Morfologia e fisiologia  (cenni). Riproduzione (cenni)</w:t>
            </w:r>
          </w:p>
          <w:p w:rsidR="00000000" w:rsidDel="00000000" w:rsidP="00000000" w:rsidRDefault="00000000" w:rsidRPr="00000000" w14:paraId="00000093">
            <w:pPr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VIRUS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 :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Struttura. Classificazione. Riproduzione (ciclo litico e ciclo lisogeno)</w:t>
            </w:r>
          </w:p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u w:val="single"/>
                <w:rtl w:val="0"/>
              </w:rPr>
              <w:t xml:space="preserve">LABORATORIO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: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 preparati e semina</w:t>
            </w:r>
          </w:p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Allestimento ed osservazione di preparati</w:t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Allestimento di preparati a secco su vetrino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Osservazione al microscopio di batteri lattici nello yogurt da allestimento a secco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Colorazione semplice (Blu di metilene)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6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Colorazione di GRAM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6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(Osservazione al microscopio di batteri lattici nello yogurt con colorazione di Gram)</w:t>
            </w:r>
          </w:p>
          <w:p w:rsidR="00000000" w:rsidDel="00000000" w:rsidP="00000000" w:rsidRDefault="00000000" w:rsidRPr="00000000" w14:paraId="0000009E">
            <w:pPr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Tecniche di Semina</w:t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6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Descrizione delle principali tecniche di semina utilizzate nei laboratori di Microbiologia:</w:t>
            </w:r>
          </w:p>
          <w:p w:rsidR="00000000" w:rsidDel="00000000" w:rsidP="00000000" w:rsidRDefault="00000000" w:rsidRPr="00000000" w14:paraId="000000A0">
            <w:pPr>
              <w:ind w:left="708" w:firstLine="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Una selezione tra:</w:t>
              <w:br w:type="textWrapping"/>
              <w:t xml:space="preserve">Semina in piastra su terreno solido,disseminazione in superficie</w:t>
            </w:r>
          </w:p>
          <w:p w:rsidR="00000000" w:rsidDel="00000000" w:rsidP="00000000" w:rsidRDefault="00000000" w:rsidRPr="00000000" w14:paraId="000000A1">
            <w:pPr>
              <w:ind w:left="708" w:firstLine="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Tecnica per striscio su piastra.</w:t>
            </w:r>
          </w:p>
          <w:p w:rsidR="00000000" w:rsidDel="00000000" w:rsidP="00000000" w:rsidRDefault="00000000" w:rsidRPr="00000000" w14:paraId="000000A2">
            <w:pPr>
              <w:ind w:left="708" w:firstLine="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Tecnica per spatolamento</w:t>
            </w:r>
          </w:p>
          <w:p w:rsidR="00000000" w:rsidDel="00000000" w:rsidP="00000000" w:rsidRDefault="00000000" w:rsidRPr="00000000" w14:paraId="000000A3">
            <w:pPr>
              <w:ind w:left="708" w:firstLine="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Tecnica per inclusione e inglobamento.</w:t>
            </w:r>
          </w:p>
          <w:p w:rsidR="00000000" w:rsidDel="00000000" w:rsidP="00000000" w:rsidRDefault="00000000" w:rsidRPr="00000000" w14:paraId="000000A4">
            <w:pPr>
              <w:ind w:left="708" w:firstLine="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Tecnica di semina con il metodo delle membrane filtranti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6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Esemplificazione di una coltura microbiologica. Semina su terreno solido di impronta del pollice</w:t>
            </w:r>
          </w:p>
          <w:p w:rsidR="00000000" w:rsidDel="00000000" w:rsidP="00000000" w:rsidRDefault="00000000" w:rsidRPr="00000000" w14:paraId="000000A6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con incubazione a 37°C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spacing w:after="0" w:before="0" w:line="240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Unità</w:t>
            </w:r>
          </w:p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Obiettivi 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Contenuti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Tempi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U.D. 3</w:t>
            </w:r>
          </w:p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jc w:val="center"/>
              <w:rPr>
                <w:rFonts w:ascii="Calibri" w:cs="Calibri" w:eastAsia="Calibri" w:hAnsi="Calibri"/>
                <w:b w:val="1"/>
                <w:bCs w:val="1"/>
                <w:highlight w:val="yellow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Crescita microbica e fattori che la influenzano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Conoscere le curve di crescita dei microrganismi e di produzione di metaboliti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yellow"/>
                <w:u w:val="single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Conoscere la composizione dei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terreni di coltura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 e le modalità di preparazione.</w:t>
            </w:r>
          </w:p>
          <w:p w:rsidR="00000000" w:rsidDel="00000000" w:rsidP="00000000" w:rsidRDefault="00000000" w:rsidRPr="00000000" w14:paraId="000000B5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Conoscere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le modalità di semina, isolamento e incubazione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 dei microrganismi.</w:t>
            </w:r>
          </w:p>
          <w:p w:rsidR="00000000" w:rsidDel="00000000" w:rsidP="00000000" w:rsidRDefault="00000000" w:rsidRPr="00000000" w14:paraId="000000B7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Conoscere i metodi per la valutazione della crescita dei microrganismi (conta batterica).</w:t>
            </w:r>
          </w:p>
          <w:p w:rsidR="00000000" w:rsidDel="00000000" w:rsidP="00000000" w:rsidRDefault="00000000" w:rsidRPr="00000000" w14:paraId="000000BA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Conoscere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i metodi con cui è possibile controllare la crescita microbica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jc w:val="both"/>
              <w:rPr>
                <w:rFonts w:ascii="Calibri" w:cs="Calibri" w:eastAsia="Calibri" w:hAnsi="Calibri"/>
                <w:highlight w:val="green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La crescita microbica e la produzione di metaboliti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Curva di crescita e principali fattori che la influenzano.</w:t>
            </w:r>
          </w:p>
          <w:p w:rsidR="00000000" w:rsidDel="00000000" w:rsidP="00000000" w:rsidRDefault="00000000" w:rsidRPr="00000000" w14:paraId="000000BE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Curva di produzione dei metaboliti (primari e secondari)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jc w:val="both"/>
              <w:rPr>
                <w:rFonts w:ascii="Calibri" w:cs="Calibri" w:eastAsia="Calibri" w:hAnsi="Calibri"/>
                <w:highlight w:val="cyan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u w:val="single"/>
                <w:rtl w:val="0"/>
              </w:rPr>
              <w:t xml:space="preserve">LABORATORIO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: La coltivazione dei batteri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6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Generalità dei terreni di coltura (Nutrienti. Fattori di crescita). Preparazione di un terreno di coltura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6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Semina, isolamento, incubazione dei microrganismi</w:t>
            </w:r>
          </w:p>
          <w:p w:rsidR="00000000" w:rsidDel="00000000" w:rsidP="00000000" w:rsidRDefault="00000000" w:rsidRPr="00000000" w14:paraId="000000C6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Calibri" w:cs="Calibri" w:eastAsia="Calibri" w:hAnsi="Calibri"/>
                <w:i w:val="1"/>
                <w:i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00"/>
                <w:rtl w:val="0"/>
              </w:rPr>
              <w:t xml:space="preserve">Ricerca di coliformi e EC in acqua di superficie. Tecnica delle membrane filtranti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98" w:hanging="425"/>
              <w:jc w:val="both"/>
              <w:rPr>
                <w:rFonts w:ascii="Calibri" w:cs="Calibri" w:eastAsia="Calibri" w:hAnsi="Calibri"/>
                <w:i w:val="1"/>
                <w:i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00"/>
                <w:rtl w:val="0"/>
              </w:rPr>
              <w:t xml:space="preserve">Campionamento passivo dell’aria</w:t>
            </w:r>
          </w:p>
          <w:p w:rsidR="00000000" w:rsidDel="00000000" w:rsidP="00000000" w:rsidRDefault="00000000" w:rsidRPr="00000000" w14:paraId="000000C8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numPr>
                <w:ilvl w:val="0"/>
                <w:numId w:val="6"/>
              </w:numPr>
              <w:ind w:left="360" w:hanging="360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Metodi per la valutazione della crescita dei microrganismi: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00" w:hanging="360"/>
              <w:jc w:val="both"/>
              <w:rPr>
                <w:rFonts w:ascii="Calibri" w:cs="Calibri" w:eastAsia="Calibri" w:hAnsi="Calibri"/>
                <w:i w:val="1"/>
                <w:i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00"/>
                <w:rtl w:val="0"/>
              </w:rPr>
              <w:t xml:space="preserve">metodi per la misurazione della biomassa</w:t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00" w:hanging="360"/>
              <w:jc w:val="both"/>
              <w:rPr>
                <w:rFonts w:ascii="Calibri" w:cs="Calibri" w:eastAsia="Calibri" w:hAnsi="Calibri"/>
                <w:i w:val="1"/>
                <w:i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00"/>
                <w:rtl w:val="0"/>
              </w:rPr>
              <w:t xml:space="preserve">metodi di conta</w:t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26" w:hanging="426"/>
              <w:jc w:val="both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00"/>
                <w:rtl w:val="0"/>
              </w:rPr>
              <w:t xml:space="preserve">Metodi fisici (il calore, le radiazioni, la filtrazione) e chimici (agenti antimicrobici) per il controllo della crescita microbica. Metodi di sterilizzazione: l’autoclave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jc w:val="both"/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E">
            <w:pPr>
              <w:rPr>
                <w:rFonts w:ascii="Calibri" w:cs="Calibri" w:eastAsia="Calibri" w:hAnsi="Calibri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>
                <w:rFonts w:ascii="Calibri" w:cs="Calibri" w:eastAsia="Calibri" w:hAnsi="Calibri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>
                <w:rFonts w:ascii="Calibri" w:cs="Calibri" w:eastAsia="Calibri" w:hAnsi="Calibri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>
                <w:rFonts w:ascii="Calibri" w:cs="Calibri" w:eastAsia="Calibri" w:hAnsi="Calibri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>
                <w:rFonts w:ascii="Calibri" w:cs="Calibri" w:eastAsia="Calibri" w:hAnsi="Calibri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>
                <w:rFonts w:ascii="Calibri" w:cs="Calibri" w:eastAsia="Calibri" w:hAnsi="Calibri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>
                <w:rFonts w:ascii="Calibri" w:cs="Calibri" w:eastAsia="Calibri" w:hAnsi="Calibri"/>
                <w:b w:val="1"/>
                <w:bCs w:val="1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>
                <w:rFonts w:ascii="Calibri" w:cs="Calibri" w:eastAsia="Calibri" w:hAnsi="Calibri"/>
                <w:highlight w:val="yellow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Gennaio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U.D. 4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Acidi nucleici e biosintesi proteica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 descrivere il meccanismo generale della trasmissione dell’informazione genica </w:t>
            </w:r>
          </w:p>
          <w:p w:rsidR="00000000" w:rsidDel="00000000" w:rsidP="00000000" w:rsidRDefault="00000000" w:rsidRPr="00000000" w14:paraId="000000DA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 descrivere il meccanismo generale della sintesi proteica ed i meccanismi di regolazione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B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Struttura generale dei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nucleotidi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DC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DNA: struttura 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processo di replicazione del DNA-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ff"/>
                <w:rtl w:val="0"/>
              </w:rPr>
              <w:t xml:space="preserve">cenni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RNA: struttura, tipologie funzionali (mRNA, rRNA e tRNA).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Biosintesi proteica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 processi di trascrizione e traduzione.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Il codice genetico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DE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Regolazione della sintesi proteica (nella cellula procariotica: operoni) </w:t>
            </w:r>
          </w:p>
          <w:p w:rsidR="00000000" w:rsidDel="00000000" w:rsidP="00000000" w:rsidRDefault="00000000" w:rsidRPr="00000000" w14:paraId="000000DF">
            <w:pPr>
              <w:jc w:val="both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jc w:val="both"/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u w:val="single"/>
                <w:rtl w:val="0"/>
              </w:rPr>
              <w:t xml:space="preserve">LABORATORIO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: Estrazione del DNA </w:t>
            </w:r>
          </w:p>
          <w:p w:rsidR="00000000" w:rsidDel="00000000" w:rsidP="00000000" w:rsidRDefault="00000000" w:rsidRPr="00000000" w14:paraId="000000E1">
            <w:pPr>
              <w:jc w:val="both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Estrazione del DNA dalla frutta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Febbraio</w:t>
            </w:r>
          </w:p>
          <w:p w:rsidR="00000000" w:rsidDel="00000000" w:rsidP="00000000" w:rsidRDefault="00000000" w:rsidRPr="00000000" w14:paraId="000000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Unità</w:t>
            </w:r>
          </w:p>
          <w:p w:rsidR="00000000" w:rsidDel="00000000" w:rsidP="00000000" w:rsidRDefault="00000000" w:rsidRPr="00000000" w14:paraId="000000E8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Obiettivi 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Contenuti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Tempi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U.D.5</w:t>
            </w:r>
          </w:p>
          <w:p w:rsidR="00000000" w:rsidDel="00000000" w:rsidP="00000000" w:rsidRDefault="00000000" w:rsidRPr="00000000" w14:paraId="000000ED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Manipolazione genetica microbica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Conoscere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gli aspetti fondamentali della genetica batterica e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i principi fondamentali di bioingegneria genetica</w:t>
            </w:r>
          </w:p>
          <w:p w:rsidR="00000000" w:rsidDel="00000000" w:rsidP="00000000" w:rsidRDefault="00000000" w:rsidRPr="00000000" w14:paraId="000000F0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Mutazione e ricombinazione del DNA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br w:type="textWrapping"/>
              <w:t xml:space="preserve">Trasferimenti genici nei batteri: trasformazione e trasduzione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color w:val="0000ff"/>
                <w:rtl w:val="0"/>
              </w:rPr>
              <w:t xml:space="preserve">(cenni).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Ingegneria genetica, Tecnica del DNA ricombinante (enzimi di restrizione, vettori, microrganismi “trasformati”)</w:t>
            </w:r>
          </w:p>
          <w:p w:rsidR="00000000" w:rsidDel="00000000" w:rsidP="00000000" w:rsidRDefault="00000000" w:rsidRPr="00000000" w14:paraId="000000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br w:type="textWrapping"/>
              <w:t xml:space="preserve">Esempi di applicazione: produzione biotecnologica dell’insulina</w:t>
            </w:r>
          </w:p>
          <w:p w:rsidR="00000000" w:rsidDel="00000000" w:rsidP="00000000" w:rsidRDefault="00000000" w:rsidRPr="00000000" w14:paraId="000000F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CRISPR-CAS: la rivoluzione dell’editing genetico</w:t>
            </w:r>
          </w:p>
          <w:p w:rsidR="00000000" w:rsidDel="00000000" w:rsidP="00000000" w:rsidRDefault="00000000" w:rsidRPr="00000000" w14:paraId="000000F5">
            <w:pPr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u w:val="single"/>
                <w:rtl w:val="0"/>
              </w:rPr>
              <w:t xml:space="preserve">LABORATORIO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: La Bioinformatica</w:t>
            </w:r>
          </w:p>
          <w:p w:rsidR="00000000" w:rsidDel="00000000" w:rsidP="00000000" w:rsidRDefault="00000000" w:rsidRPr="00000000" w14:paraId="000000F6">
            <w:pPr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Esploriamo il genoma umano, giochiamo con il codice genetico ,mutazioni puntiformi e loro conseguenze.</w:t>
            </w:r>
          </w:p>
          <w:p w:rsidR="00000000" w:rsidDel="00000000" w:rsidP="00000000" w:rsidRDefault="00000000" w:rsidRPr="00000000" w14:paraId="000000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Marzo</w:t>
            </w:r>
          </w:p>
          <w:p w:rsidR="00000000" w:rsidDel="00000000" w:rsidP="00000000" w:rsidRDefault="00000000" w:rsidRPr="00000000" w14:paraId="000000F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U.D.6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Metabolismo energetico</w:t>
            </w:r>
          </w:p>
          <w:p w:rsidR="00000000" w:rsidDel="00000000" w:rsidP="00000000" w:rsidRDefault="00000000" w:rsidRPr="00000000" w14:paraId="000000FF">
            <w:pPr>
              <w:jc w:val="center"/>
              <w:rPr>
                <w:rFonts w:ascii="Calibri" w:cs="Calibri" w:eastAsia="Calibri" w:hAnsi="Calibri"/>
                <w:b w:val="1"/>
                <w:bCs w:val="1"/>
                <w:strike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microbico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0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Comprendere i principali processi metabolici cellulari microbici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rPr>
                <w:rFonts w:ascii="Calibri" w:cs="Calibri" w:eastAsia="Calibri" w:hAnsi="Calibri"/>
                <w:strike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 commentare gli aspetti energetici e le finalità dei principali cicli metabolici,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conoscendo la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 differenza tra respirazione e fermentazione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METABOLISMO energetico microbico</w:t>
            </w:r>
          </w:p>
          <w:p w:rsidR="00000000" w:rsidDel="00000000" w:rsidP="00000000" w:rsidRDefault="00000000" w:rsidRPr="00000000" w14:paraId="000001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Aspetti energetici delle reazioni metaboliche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 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ATP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e ADP.</w:t>
            </w:r>
          </w:p>
          <w:p w:rsidR="00000000" w:rsidDel="00000000" w:rsidP="00000000" w:rsidRDefault="00000000" w:rsidRPr="00000000" w14:paraId="00000104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Respirazione: La glicolisi.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Ciclo di Krebs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e fosforilazione ossidativa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Aspetti energetici.  </w:t>
            </w:r>
          </w:p>
          <w:p w:rsidR="00000000" w:rsidDel="00000000" w:rsidP="00000000" w:rsidRDefault="00000000" w:rsidRPr="00000000" w14:paraId="00000105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Fermentazione alcolica e lattica</w:t>
            </w:r>
          </w:p>
          <w:p w:rsidR="00000000" w:rsidDel="00000000" w:rsidP="00000000" w:rsidRDefault="00000000" w:rsidRPr="00000000" w14:paraId="00000106">
            <w:pPr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Collegamenti tra le vie metaboliche (schema generale del catabolismo di lipidi e amminoacidi)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Aprile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U.D. 7</w:t>
            </w:r>
          </w:p>
          <w:p w:rsidR="00000000" w:rsidDel="00000000" w:rsidP="00000000" w:rsidRDefault="00000000" w:rsidRPr="00000000" w14:paraId="0000010C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Applicazioni industriali ed ambientali delle biotecnologie</w:t>
            </w:r>
          </w:p>
          <w:p w:rsidR="00000000" w:rsidDel="00000000" w:rsidP="00000000" w:rsidRDefault="00000000" w:rsidRPr="00000000" w14:paraId="0000010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Conoscere esempi dei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principali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processi industriali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biotecnologici con particolare riguardo a quelli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di interesse ambientale e industriale</w:t>
            </w:r>
          </w:p>
          <w:p w:rsidR="00000000" w:rsidDel="00000000" w:rsidP="00000000" w:rsidRDefault="00000000" w:rsidRPr="00000000" w14:paraId="00000110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rPr>
                <w:rFonts w:ascii="Calibri" w:cs="Calibri" w:eastAsia="Calibri" w:hAnsi="Calibri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rPr>
                <w:rFonts w:ascii="Calibri" w:cs="Calibri" w:eastAsia="Calibri" w:hAnsi="Calibri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rPr>
                <w:rFonts w:ascii="Calibri" w:cs="Calibri" w:eastAsia="Calibri" w:hAnsi="Calibri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Fermentazione su scala industriale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: bioreattori, le fasi della produzione biotecnologica (coltura ed espansione cellulare, fermentazione, recovery). I fattori di controllo della fermentazione.</w:t>
            </w:r>
          </w:p>
          <w:p w:rsidR="00000000" w:rsidDel="00000000" w:rsidP="00000000" w:rsidRDefault="00000000" w:rsidRPr="00000000" w14:paraId="00000116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br w:type="textWrapping"/>
              <w:t xml:space="preserve">Biotech: ambiti di applicazione (panoramica). </w:t>
            </w: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Rischio chimico- biologico nell’uso dei microrganismi (Vedi UD trasversale)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Esempi di processi biotecnologici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(a scelta):</w:t>
              <w:br w:type="textWrapping"/>
              <w:t xml:space="preserve">Impiego degli enzimi nell’industria</w:t>
            </w:r>
          </w:p>
          <w:p w:rsidR="00000000" w:rsidDel="00000000" w:rsidP="00000000" w:rsidRDefault="00000000" w:rsidRPr="00000000" w14:paraId="000001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Produzione di farmaci (insulina o antibiotici)</w:t>
            </w:r>
          </w:p>
          <w:p w:rsidR="00000000" w:rsidDel="00000000" w:rsidP="00000000" w:rsidRDefault="00000000" w:rsidRPr="00000000" w14:paraId="000001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Depurazione biologica delle acque </w:t>
            </w:r>
          </w:p>
          <w:p w:rsidR="00000000" w:rsidDel="00000000" w:rsidP="00000000" w:rsidRDefault="00000000" w:rsidRPr="00000000" w14:paraId="000001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Produzione di biocombustibili</w:t>
            </w:r>
          </w:p>
          <w:p w:rsidR="00000000" w:rsidDel="00000000" w:rsidP="00000000" w:rsidRDefault="00000000" w:rsidRPr="00000000" w14:paraId="000001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jc w:val="both"/>
              <w:rPr>
                <w:rFonts w:ascii="Calibri" w:cs="Calibri" w:eastAsia="Calibri" w:hAnsi="Calibri"/>
                <w:i w:val="1"/>
                <w:i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u w:val="single"/>
                <w:rtl w:val="0"/>
              </w:rPr>
              <w:t xml:space="preserve">LABORATORIO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u w:val="single"/>
                <w:rtl w:val="0"/>
              </w:rPr>
              <w:t xml:space="preserve">: gli antibiotici</w:t>
            </w:r>
          </w:p>
          <w:p w:rsidR="00000000" w:rsidDel="00000000" w:rsidP="00000000" w:rsidRDefault="00000000" w:rsidRPr="00000000" w14:paraId="0000011E">
            <w:pPr>
              <w:jc w:val="both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Antibiotici: antibiogramma e MIC. </w:t>
            </w:r>
          </w:p>
          <w:p w:rsidR="00000000" w:rsidDel="00000000" w:rsidP="00000000" w:rsidRDefault="00000000" w:rsidRPr="00000000" w14:paraId="0000011F">
            <w:pPr>
              <w:jc w:val="both"/>
              <w:rPr>
                <w:rFonts w:ascii="Calibri" w:cs="Calibri" w:eastAsia="Calibri" w:hAnsi="Calibri"/>
                <w:i w:val="1"/>
                <w:iCs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rtl w:val="0"/>
              </w:rPr>
              <w:t xml:space="preserve">Significato e tecnica  delle diluizioni nel lab di microbiologia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Maggio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UD trasversale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8">
            <w:pPr>
              <w:ind w:hanging="2"/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reazioni  gruppi  funzionali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9">
            <w:pPr>
              <w:ind w:hanging="2"/>
              <w:rPr>
                <w:rFonts w:ascii="Calibri" w:cs="Calibri" w:eastAsia="Calibri" w:hAnsi="Calibri"/>
                <w:b w:val="1"/>
                <w:bCs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sapere riconoscere le diverse tipologie di reazioni dei gruppi funzionali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B">
      <w:pPr>
        <w:keepNext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76" w:hanging="576"/>
        <w:jc w:val="right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ind w:hanging="2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VALUTAZIONE: </w:t>
        <w:tab/>
      </w:r>
    </w:p>
    <w:p w:rsidR="00000000" w:rsidDel="00000000" w:rsidP="00000000" w:rsidRDefault="00000000" w:rsidRPr="00000000" w14:paraId="0000012D">
      <w:pPr>
        <w:ind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Trimestre: almeno due voti di teoria e due di pratica (laboratorio)</w:t>
      </w:r>
    </w:p>
    <w:p w:rsidR="00000000" w:rsidDel="00000000" w:rsidP="00000000" w:rsidRDefault="00000000" w:rsidRPr="00000000" w14:paraId="0000012E">
      <w:pPr>
        <w:ind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Pentamestre: almeno tre voti di teoria e due di pratica (laboratorio). </w:t>
      </w:r>
    </w:p>
    <w:p w:rsidR="00000000" w:rsidDel="00000000" w:rsidP="00000000" w:rsidRDefault="00000000" w:rsidRPr="00000000" w14:paraId="0000012F">
      <w:pPr>
        <w:ind w:hanging="2"/>
        <w:jc w:val="both"/>
        <w:rPr>
          <w:rFonts w:ascii="Calibri" w:cs="Calibri" w:eastAsia="Calibri" w:hAnsi="Calibri"/>
          <w:i w:val="1"/>
          <w:iCs w:val="1"/>
          <w:strike w:val="1"/>
          <w:color w:val="ff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 entrambi i periodi: eventuale valutazione del lavoro svolto a casa</w:t>
        <w:br w:type="textWrapping"/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A ciascuna prova di valutazione, in base alla tipologia e complessità,  potrebbe essere attribuito dal docente un peso % diverso dal 100% (ai fini della media), esplicitandolo in Argo in fase di registrazione del voto.</w:t>
        <w:br w:type="textWrapping"/>
        <w:t xml:space="preserve">Il voto di teoria prevede prove intercambiabili tra scritto e orale, in base al programma.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240" w:before="240" w:lineRule="auto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Può risultare utile che alcune relazioni di laboratorio, ove compatibile con le ore disponibili, vengano svolte dagli studenti in aula, con la supervisione del docente (anzichè a casa) </w:t>
      </w:r>
      <w:r w:rsidDel="00000000" w:rsidR="00000000" w:rsidRPr="00000000">
        <w:rPr>
          <w:rtl w:val="0"/>
        </w:rPr>
      </w:r>
    </w:p>
    <w:sectPr>
      <w:footerReference r:id="rId7" w:type="default"/>
      <w:pgSz w:h="11906" w:w="16838" w:orient="landscape"/>
      <w:pgMar w:bottom="1134" w:top="1134" w:left="1134" w:right="14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ind w:right="360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9058276</wp:posOffset>
              </wp:positionH>
              <wp:positionV relativeFrom="paragraph">
                <wp:posOffset>-9522</wp:posOffset>
              </wp:positionV>
              <wp:extent cx="120014" cy="202565"/>
              <wp:effectExtent b="0" l="0" r="0" t="0"/>
              <wp:wrapSquare wrapText="bothSides" distB="0" distT="0" distL="114300" distR="114300"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314568" y="3707293"/>
                        <a:ext cx="62864" cy="145415"/>
                      </a:xfrm>
                      <a:custGeom>
                        <a:rect b="b" l="l" r="r" t="t"/>
                        <a:pathLst>
                          <a:path extrusionOk="0" h="145415" w="62864">
                            <a:moveTo>
                              <a:pt x="0" y="0"/>
                            </a:moveTo>
                            <a:lnTo>
                              <a:pt x="0" y="145415"/>
                            </a:lnTo>
                            <a:lnTo>
                              <a:pt x="62864" y="145415"/>
                            </a:lnTo>
                            <a:lnTo>
                              <a:pt x="62864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9058276</wp:posOffset>
              </wp:positionH>
              <wp:positionV relativeFrom="paragraph">
                <wp:posOffset>-9522</wp:posOffset>
              </wp:positionV>
              <wp:extent cx="120014" cy="202565"/>
              <wp:effectExtent b="0" l="0" r="0" t="0"/>
              <wp:wrapSquare wrapText="bothSides" distB="0" distT="0" distL="114300" distR="114300"/>
              <wp:docPr id="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014" cy="2025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✔"/>
      <w:lvlJc w:val="left"/>
      <w:pPr>
        <w:ind w:left="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6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360" w:hanging="360"/>
      <w:jc w:val="center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ind w:left="1440" w:hanging="360"/>
      <w:jc w:val="right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ind w:left="2160" w:hanging="360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ind w:left="2880" w:hanging="360"/>
    </w:pPr>
    <w:rPr/>
  </w:style>
  <w:style w:type="paragraph" w:styleId="Heading5">
    <w:name w:val="heading 5"/>
    <w:basedOn w:val="Normal"/>
    <w:next w:val="Normal"/>
    <w:pPr>
      <w:keepNext w:val="1"/>
      <w:ind w:left="0" w:right="113" w:firstLine="0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ind w:left="4320" w:hanging="360"/>
      <w:jc w:val="center"/>
    </w:pPr>
    <w:rPr>
      <w:rFonts w:ascii="Verdana" w:cs="Verdana" w:eastAsia="Verdana" w:hAnsi="Verdana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2z0" w:customStyle="1">
    <w:name w:val="WW8Num2z0"/>
    <w:rsid w:val="001C2272"/>
    <w:rPr>
      <w:rFonts w:ascii="Symbol" w:cs="Symbol" w:hAnsi="Symbol"/>
    </w:rPr>
  </w:style>
  <w:style w:type="character" w:styleId="WW8Num3z0" w:customStyle="1">
    <w:name w:val="WW8Num3z0"/>
    <w:rsid w:val="001C2272"/>
    <w:rPr>
      <w:rFonts w:ascii="Symbol" w:cs="Symbol" w:hAnsi="Symbol"/>
    </w:rPr>
  </w:style>
  <w:style w:type="character" w:styleId="WW8Num4z0" w:customStyle="1">
    <w:name w:val="WW8Num4z0"/>
    <w:rsid w:val="001C2272"/>
    <w:rPr>
      <w:rFonts w:ascii="Symbol" w:cs="Symbol" w:hAnsi="Symbol"/>
    </w:rPr>
  </w:style>
  <w:style w:type="character" w:styleId="WW8Num5z0" w:customStyle="1">
    <w:name w:val="WW8Num5z0"/>
    <w:rsid w:val="001C2272"/>
    <w:rPr>
      <w:rFonts w:ascii="Symbol" w:cs="Symbol" w:hAnsi="Symbol"/>
    </w:rPr>
  </w:style>
  <w:style w:type="character" w:styleId="WW8Num6z0" w:customStyle="1">
    <w:name w:val="WW8Num6z0"/>
    <w:rsid w:val="001C2272"/>
    <w:rPr>
      <w:rFonts w:ascii="Symbol" w:cs="Symbol" w:hAnsi="Symbol"/>
    </w:rPr>
  </w:style>
  <w:style w:type="character" w:styleId="WW8Num7z0" w:customStyle="1">
    <w:name w:val="WW8Num7z0"/>
    <w:rsid w:val="001C2272"/>
    <w:rPr>
      <w:rFonts w:ascii="Symbol" w:cs="Symbol" w:hAnsi="Symbol"/>
    </w:rPr>
  </w:style>
  <w:style w:type="character" w:styleId="WW8Num8z0" w:customStyle="1">
    <w:name w:val="WW8Num8z0"/>
    <w:rsid w:val="001C2272"/>
    <w:rPr>
      <w:rFonts w:ascii="Symbol" w:cs="Symbol" w:hAnsi="Symbol"/>
    </w:rPr>
  </w:style>
  <w:style w:type="character" w:styleId="WW8Num9z0" w:customStyle="1">
    <w:name w:val="WW8Num9z0"/>
    <w:rsid w:val="001C2272"/>
    <w:rPr>
      <w:rFonts w:ascii="Symbol" w:cs="Symbol" w:hAnsi="Symbol"/>
    </w:rPr>
  </w:style>
  <w:style w:type="character" w:styleId="WW8Num10z0" w:customStyle="1">
    <w:name w:val="WW8Num10z0"/>
    <w:rsid w:val="001C2272"/>
    <w:rPr>
      <w:rFonts w:ascii="Symbol" w:cs="Symbol" w:hAnsi="Symbol"/>
    </w:rPr>
  </w:style>
  <w:style w:type="character" w:styleId="WW8Num11z0" w:customStyle="1">
    <w:name w:val="WW8Num11z0"/>
    <w:rsid w:val="001C2272"/>
    <w:rPr>
      <w:rFonts w:ascii="Symbol" w:cs="Symbol" w:hAnsi="Symbol"/>
    </w:rPr>
  </w:style>
  <w:style w:type="character" w:styleId="WW8Num12z0" w:customStyle="1">
    <w:name w:val="WW8Num12z0"/>
    <w:rsid w:val="001C2272"/>
    <w:rPr>
      <w:rFonts w:ascii="Symbol" w:cs="Symbol" w:hAnsi="Symbol"/>
    </w:rPr>
  </w:style>
  <w:style w:type="character" w:styleId="WW8Num13z0" w:customStyle="1">
    <w:name w:val="WW8Num13z0"/>
    <w:rsid w:val="001C2272"/>
    <w:rPr>
      <w:rFonts w:ascii="Symbol" w:cs="Symbol" w:hAnsi="Symbol"/>
    </w:rPr>
  </w:style>
  <w:style w:type="character" w:styleId="WW8Num14z0" w:customStyle="1">
    <w:name w:val="WW8Num14z0"/>
    <w:rsid w:val="001C2272"/>
    <w:rPr>
      <w:rFonts w:ascii="Symbol" w:cs="Symbol" w:hAnsi="Symbol"/>
    </w:rPr>
  </w:style>
  <w:style w:type="character" w:styleId="WW8Num15z0" w:customStyle="1">
    <w:name w:val="WW8Num15z0"/>
    <w:rsid w:val="001C2272"/>
    <w:rPr>
      <w:rFonts w:ascii="Symbol" w:cs="Symbol" w:hAnsi="Symbol"/>
    </w:rPr>
  </w:style>
  <w:style w:type="character" w:styleId="WW8Num16z0" w:customStyle="1">
    <w:name w:val="WW8Num16z0"/>
    <w:rsid w:val="001C2272"/>
    <w:rPr>
      <w:rFonts w:ascii="Symbol" w:cs="Symbol" w:hAnsi="Symbol"/>
    </w:rPr>
  </w:style>
  <w:style w:type="character" w:styleId="WW8Num17z0" w:customStyle="1">
    <w:name w:val="WW8Num17z0"/>
    <w:rsid w:val="001C2272"/>
    <w:rPr>
      <w:rFonts w:ascii="Symbol" w:cs="Symbol" w:hAnsi="Symbol"/>
    </w:rPr>
  </w:style>
  <w:style w:type="character" w:styleId="WW8Num18z0" w:customStyle="1">
    <w:name w:val="WW8Num18z0"/>
    <w:rsid w:val="001C2272"/>
    <w:rPr>
      <w:rFonts w:ascii="Symbol" w:cs="Symbol" w:hAnsi="Symbol"/>
    </w:rPr>
  </w:style>
  <w:style w:type="character" w:styleId="WW8Num19z0" w:customStyle="1">
    <w:name w:val="WW8Num19z0"/>
    <w:rsid w:val="001C2272"/>
    <w:rPr>
      <w:rFonts w:ascii="Symbol" w:cs="Symbol" w:hAnsi="Symbol"/>
    </w:rPr>
  </w:style>
  <w:style w:type="character" w:styleId="WW8Num1z0" w:customStyle="1">
    <w:name w:val="WW8Num1z0"/>
    <w:rsid w:val="001C2272"/>
    <w:rPr>
      <w:rFonts w:ascii="Symbol" w:cs="Symbol" w:hAnsi="Symbol"/>
    </w:rPr>
  </w:style>
  <w:style w:type="character" w:styleId="WW8Num8z1" w:customStyle="1">
    <w:name w:val="WW8Num8z1"/>
    <w:rsid w:val="001C2272"/>
    <w:rPr>
      <w:rFonts w:ascii="Wingdings" w:cs="Wingdings" w:hAnsi="Wingdings"/>
    </w:rPr>
  </w:style>
  <w:style w:type="character" w:styleId="WW8Num8z4" w:customStyle="1">
    <w:name w:val="WW8Num8z4"/>
    <w:rsid w:val="001C2272"/>
    <w:rPr>
      <w:rFonts w:ascii="Courier New" w:cs="Courier New" w:hAnsi="Courier New"/>
    </w:rPr>
  </w:style>
  <w:style w:type="character" w:styleId="WW8Num12z1" w:customStyle="1">
    <w:name w:val="WW8Num12z1"/>
    <w:rsid w:val="001C2272"/>
    <w:rPr>
      <w:rFonts w:ascii="Courier New" w:cs="Courier New" w:hAnsi="Courier New"/>
    </w:rPr>
  </w:style>
  <w:style w:type="character" w:styleId="WW8Num12z2" w:customStyle="1">
    <w:name w:val="WW8Num12z2"/>
    <w:rsid w:val="001C2272"/>
    <w:rPr>
      <w:rFonts w:ascii="Wingdings" w:cs="Wingdings" w:hAnsi="Wingdings"/>
    </w:rPr>
  </w:style>
  <w:style w:type="character" w:styleId="Carpredefinitoparagrafo1" w:customStyle="1">
    <w:name w:val="Car. predefinito paragrafo1"/>
    <w:rsid w:val="001C2272"/>
  </w:style>
  <w:style w:type="character" w:styleId="Numeropagina">
    <w:name w:val="page number"/>
    <w:basedOn w:val="Carpredefinitoparagrafo1"/>
    <w:rsid w:val="001C2272"/>
  </w:style>
  <w:style w:type="paragraph" w:styleId="Intestazione1" w:customStyle="1">
    <w:name w:val="Intestazione1"/>
    <w:basedOn w:val="Normale"/>
    <w:next w:val="Corpotesto"/>
    <w:rsid w:val="001C2272"/>
    <w:pPr>
      <w:keepNext w:val="1"/>
      <w:spacing w:after="120" w:before="240"/>
    </w:pPr>
    <w:rPr>
      <w:rFonts w:ascii="Arial" w:cs="Arial Unicode MS" w:eastAsia="Arial Unicode MS" w:hAnsi="Arial"/>
      <w:sz w:val="28"/>
      <w:szCs w:val="28"/>
    </w:rPr>
  </w:style>
  <w:style w:type="paragraph" w:styleId="Corpotesto">
    <w:name w:val="Body Text"/>
    <w:basedOn w:val="Normale"/>
    <w:rsid w:val="001C2272"/>
    <w:rPr>
      <w:u w:val="single"/>
    </w:rPr>
  </w:style>
  <w:style w:type="paragraph" w:styleId="Elenco">
    <w:name w:val="List"/>
    <w:basedOn w:val="Corpotesto"/>
    <w:rsid w:val="001C2272"/>
  </w:style>
  <w:style w:type="paragraph" w:styleId="Didascalia1" w:customStyle="1">
    <w:name w:val="Didascalia1"/>
    <w:basedOn w:val="Normale"/>
    <w:rsid w:val="001C2272"/>
    <w:pPr>
      <w:suppressLineNumbers w:val="1"/>
      <w:spacing w:after="120" w:before="120"/>
    </w:pPr>
    <w:rPr>
      <w:i w:val="1"/>
      <w:iCs w:val="1"/>
    </w:rPr>
  </w:style>
  <w:style w:type="paragraph" w:styleId="Indice" w:customStyle="1">
    <w:name w:val="Indice"/>
    <w:basedOn w:val="Normale"/>
    <w:rsid w:val="001C2272"/>
    <w:pPr>
      <w:suppressLineNumbers w:val="1"/>
    </w:pPr>
  </w:style>
  <w:style w:type="paragraph" w:styleId="Corpodeltesto21" w:customStyle="1">
    <w:name w:val="Corpo del testo 21"/>
    <w:basedOn w:val="Normale"/>
    <w:rsid w:val="001C2272"/>
    <w:pPr>
      <w:jc w:val="both"/>
    </w:pPr>
  </w:style>
  <w:style w:type="paragraph" w:styleId="Corpodeltesto31" w:customStyle="1">
    <w:name w:val="Corpo del testo 31"/>
    <w:basedOn w:val="Normale"/>
    <w:rsid w:val="001C2272"/>
    <w:pPr>
      <w:jc w:val="both"/>
    </w:pPr>
    <w:rPr>
      <w:rFonts w:ascii="Verdana" w:cs="Verdana" w:hAnsi="Verdana"/>
    </w:rPr>
  </w:style>
  <w:style w:type="paragraph" w:styleId="Pidipagina">
    <w:name w:val="footer"/>
    <w:basedOn w:val="Normale"/>
    <w:rsid w:val="001C2272"/>
    <w:pPr>
      <w:tabs>
        <w:tab w:val="center" w:pos="4819"/>
        <w:tab w:val="right" w:pos="9638"/>
      </w:tabs>
    </w:pPr>
  </w:style>
  <w:style w:type="paragraph" w:styleId="Contenutotabella" w:customStyle="1">
    <w:name w:val="Contenuto tabella"/>
    <w:basedOn w:val="Normale"/>
    <w:rsid w:val="001C2272"/>
    <w:pPr>
      <w:suppressLineNumbers w:val="1"/>
    </w:pPr>
  </w:style>
  <w:style w:type="paragraph" w:styleId="Intestazionetabella" w:customStyle="1">
    <w:name w:val="Intestazione tabella"/>
    <w:basedOn w:val="Contenutotabella"/>
    <w:rsid w:val="001C2272"/>
    <w:pPr>
      <w:jc w:val="center"/>
    </w:pPr>
    <w:rPr>
      <w:b w:val="1"/>
      <w:bCs w:val="1"/>
    </w:rPr>
  </w:style>
  <w:style w:type="paragraph" w:styleId="Contenutocornice" w:customStyle="1">
    <w:name w:val="Contenuto cornice"/>
    <w:basedOn w:val="Corpotesto"/>
    <w:rsid w:val="001C2272"/>
  </w:style>
  <w:style w:type="paragraph" w:styleId="Intestazione">
    <w:name w:val="header"/>
    <w:basedOn w:val="Normale"/>
    <w:rsid w:val="001C2272"/>
    <w:pPr>
      <w:suppressLineNumbers w:val="1"/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72"/>
    <w:unhideWhenUsed w:val="1"/>
    <w:rsid w:val="000F33EA"/>
    <w:pPr>
      <w:ind w:left="720"/>
      <w:contextualSpacing w:val="1"/>
    </w:pPr>
  </w:style>
  <w:style w:type="paragraph" w:styleId="NormaleWeb">
    <w:name w:val="Normal (Web)"/>
    <w:basedOn w:val="Normale"/>
    <w:uiPriority w:val="99"/>
    <w:semiHidden w:val="1"/>
    <w:unhideWhenUsed w:val="1"/>
    <w:rsid w:val="00790071"/>
    <w:pPr>
      <w:suppressAutoHyphens w:val="0"/>
      <w:spacing w:after="100" w:afterAutospacing="1" w:before="100" w:beforeAutospacing="1"/>
    </w:pPr>
    <w:rPr>
      <w:lang w:eastAsia="it-IT"/>
    </w:rPr>
  </w:style>
  <w:style w:type="table" w:styleId="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stocommento">
    <w:name w:val="annotation text"/>
    <w:basedOn w:val="Normale"/>
    <w:link w:val="TestocommentoCarattere"/>
    <w:uiPriority w:val="99"/>
    <w:semiHidden w:val="1"/>
    <w:unhideWhenUsed w:val="1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 w:val="1"/>
    <w:rPr>
      <w:sz w:val="20"/>
      <w:szCs w:val="20"/>
      <w:lang w:eastAsia="ar-SA"/>
    </w:rPr>
  </w:style>
  <w:style w:type="character" w:styleId="Rimandocommento">
    <w:name w:val="annotation reference"/>
    <w:basedOn w:val="Carpredefinitoparagrafo"/>
    <w:uiPriority w:val="99"/>
    <w:semiHidden w:val="1"/>
    <w:unhideWhenUsed w:val="1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D81A04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D81A04"/>
    <w:rPr>
      <w:rFonts w:ascii="Segoe UI" w:cs="Segoe UI" w:hAnsi="Segoe UI"/>
      <w:sz w:val="18"/>
      <w:szCs w:val="18"/>
      <w:lang w:eastAsia="ar-SA"/>
    </w:rPr>
  </w:style>
  <w:style w:type="table" w:styleId="a3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LFJVu3jUeP5CZHgN8mvSwsVN7A==">CgMxLjAyCGguZ2pkZ3hzOAByITEycHFQZ1hWVEZnLUJpUzdxZTJhRnl4R1ZxQzNCUUhXbg==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2023-10-18T13:48:00Z</dcterms:created>
  <dc:creator>Ciro Zizolfi</dc:creator>
</cp:coreProperties>
</file>